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50" w:rsidRDefault="00BA4C50" w:rsidP="00BA4C5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ФЕДЕРАЛЬНАЯ АНТИМОНОПОЛЬНАЯ СЛУЖБА</w:t>
      </w:r>
    </w:p>
    <w:p w:rsidR="00BA4C50" w:rsidRDefault="00BA4C50" w:rsidP="00BA4C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BA4C50" w:rsidRDefault="00BA4C50" w:rsidP="00BA4C5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ПРИКАЗ</w:t>
      </w:r>
    </w:p>
    <w:p w:rsidR="00BA4C50" w:rsidRDefault="00BA4C50" w:rsidP="00BA4C5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5 февраля 2019 г. N 133/19</w:t>
      </w:r>
    </w:p>
    <w:p w:rsidR="00BA4C50" w:rsidRDefault="00BA4C50" w:rsidP="00BA4C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BA4C50" w:rsidRDefault="00BA4C50" w:rsidP="00BA4C5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МЕТОДИКИ</w:t>
      </w:r>
    </w:p>
    <w:p w:rsidR="00BA4C50" w:rsidRDefault="00BA4C50" w:rsidP="00BA4C5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РАСЧЕТА КЛЮЧЕВЫХ ПОКАЗАТЕЛЕЙ ЭФФЕКТИВНОСТИ ФУНКЦИОНИРОВАНИЯ</w:t>
      </w:r>
    </w:p>
    <w:p w:rsidR="00BA4C50" w:rsidRDefault="00BA4C50" w:rsidP="00BA4C5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ФЕДЕРАЛЬНОМ ОРГАНЕ ИСПОЛНИТЕЛЬНОЙ ВЛАСТИ</w:t>
      </w:r>
    </w:p>
    <w:p w:rsidR="00BA4C50" w:rsidRDefault="00BA4C50" w:rsidP="00BA4C5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АНТИМОНОПОЛЬНОГО КОМПЛАЕНСА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пунктом 29</w:t>
        </w:r>
      </w:hyperlink>
      <w:r>
        <w:rPr>
          <w:rFonts w:ascii="Arial" w:hAnsi="Arial" w:cs="Arial"/>
          <w:sz w:val="20"/>
          <w:szCs w:val="20"/>
        </w:rPr>
        <w:t xml:space="preserve"> распоряжения Правительства Российской Федерации от 18 октября 2018 года N 2258-р, приказываю: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Методику</w:t>
        </w:r>
      </w:hyperlink>
      <w:r>
        <w:rPr>
          <w:rFonts w:ascii="Arial" w:hAnsi="Arial" w:cs="Arial"/>
          <w:sz w:val="20"/>
          <w:szCs w:val="20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rPr>
          <w:rFonts w:ascii="Arial" w:hAnsi="Arial" w:cs="Arial"/>
          <w:sz w:val="20"/>
          <w:szCs w:val="20"/>
        </w:rPr>
        <w:t>комплаенса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приложением N 1 к настоящему приказу.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Контроль исполнения настоящего приказа оставляю за собой.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И.Ю.АРТЕМЬЕВ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ФАС России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05.02.2019 N 133/19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26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МЕТОДИКА</w:t>
      </w:r>
    </w:p>
    <w:p w:rsidR="00BA4C50" w:rsidRDefault="00BA4C50" w:rsidP="00BA4C5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РАСЧЕТА КЛЮЧЕВЫХ ПОКАЗАТЕЛЕЙ ЭФФЕКТИВНОСТИ ФУНКЦИОНИРОВАНИЯ</w:t>
      </w:r>
    </w:p>
    <w:p w:rsidR="00BA4C50" w:rsidRDefault="00BA4C50" w:rsidP="00BA4C5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ФЕДЕРАЛЬНОМ ОРГАНЕ ИСПОЛНИТЕЛЬНОЙ ВЛАСТИ</w:t>
      </w:r>
    </w:p>
    <w:p w:rsidR="00BA4C50" w:rsidRDefault="00BA4C50" w:rsidP="00BA4C5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АНТИМОНОПОЛЬНОГО КОМПЛАЕНСА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Общие положения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Методика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rPr>
          <w:rFonts w:ascii="Arial" w:hAnsi="Arial" w:cs="Arial"/>
          <w:sz w:val="20"/>
          <w:szCs w:val="20"/>
        </w:rPr>
        <w:t>комплаенса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Методика) разработана ФАС России 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 (далее - Методические рекомендации).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целях оценки эффективности функционирования в федеральном органе исполнительной власти антимонопольного </w:t>
      </w:r>
      <w:proofErr w:type="spellStart"/>
      <w:r>
        <w:rPr>
          <w:rFonts w:ascii="Arial" w:hAnsi="Arial" w:cs="Arial"/>
          <w:sz w:val="20"/>
          <w:szCs w:val="20"/>
        </w:rPr>
        <w:t>комплаенса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Методикой рассчитываются ключевые показатели эффективности антимонопольного </w:t>
      </w:r>
      <w:proofErr w:type="spellStart"/>
      <w:r>
        <w:rPr>
          <w:rFonts w:ascii="Arial" w:hAnsi="Arial" w:cs="Arial"/>
          <w:sz w:val="20"/>
          <w:szCs w:val="20"/>
        </w:rPr>
        <w:t>комплаенса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КПЭ) как для уполномоченного подразделения (должностного лица), так и для федерального органа исполнительной власти в целом.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Методика расчета КПЭ для федерального органа</w:t>
      </w:r>
    </w:p>
    <w:p w:rsidR="00BA4C50" w:rsidRDefault="00BA4C50" w:rsidP="00BA4C5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исполнительной власти в целом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Ключевыми показателями эффективности антимонопольного </w:t>
      </w:r>
      <w:proofErr w:type="spellStart"/>
      <w:r>
        <w:rPr>
          <w:rFonts w:ascii="Arial" w:hAnsi="Arial" w:cs="Arial"/>
          <w:sz w:val="20"/>
          <w:szCs w:val="20"/>
        </w:rPr>
        <w:t>комплаенса</w:t>
      </w:r>
      <w:proofErr w:type="spellEnd"/>
      <w:r>
        <w:rPr>
          <w:rFonts w:ascii="Arial" w:hAnsi="Arial" w:cs="Arial"/>
          <w:sz w:val="20"/>
          <w:szCs w:val="20"/>
        </w:rPr>
        <w:t xml:space="preserve"> для федерального органа исполнительной власти в целом являются: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годом);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законодательства;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доля нормативных правовых актов федерального органа исполнительной власти, в которых выявлены риски нарушения антимонопольного законодательства.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 рассчитывается по формуле: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0"/>
          <w:sz w:val="20"/>
          <w:szCs w:val="20"/>
          <w:lang w:eastAsia="ru-RU"/>
        </w:rPr>
        <w:drawing>
          <wp:inline distT="0" distB="0" distL="0" distR="0">
            <wp:extent cx="962025" cy="390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КСН - коэффициент снижения количества нарушений антимонопольного законодательства со стороны федерального органа исполнительной власти по сравнению с 2017 годом;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  <w:vertAlign w:val="subscript"/>
        </w:rPr>
        <w:t>2017</w:t>
      </w:r>
      <w:r>
        <w:rPr>
          <w:rFonts w:ascii="Arial" w:hAnsi="Arial" w:cs="Arial"/>
          <w:sz w:val="20"/>
          <w:szCs w:val="20"/>
        </w:rPr>
        <w:t xml:space="preserve"> - количество нарушений антимонопольного законодательства со стороны федерального органа исполнительной власти в 2017 году;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КНоп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нарушений антимонопольного законодательства со стороны органа государственной власти в отчетном периоде.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расчете коэффициента снижения количества нарушений антимонопольного законодательства со стороны федерального органа исполнительной власти под нарушением антимонопольного законодательства со стороны федерального органа исполнительной власти понимаются: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возбужденные антимонопольным органом в отношении федерального органа исполнительной власти антимонопольные дела;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выданные антимонопольным органом федеральному органу исполнительной власти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направленные антимонопольным органом федеральному органу исполнительной власти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законодательства, рассчитывается по формуле: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0"/>
          <w:sz w:val="20"/>
          <w:szCs w:val="20"/>
          <w:lang w:eastAsia="ru-RU"/>
        </w:rPr>
        <w:drawing>
          <wp:inline distT="0" distB="0" distL="0" distR="0">
            <wp:extent cx="10668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Дпнпа</w:t>
      </w:r>
      <w:proofErr w:type="spellEnd"/>
      <w:r>
        <w:rPr>
          <w:rFonts w:ascii="Arial" w:hAnsi="Arial" w:cs="Arial"/>
          <w:sz w:val="20"/>
          <w:szCs w:val="20"/>
        </w:rPr>
        <w:t xml:space="preserve"> - 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законодательства;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Кпнпа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проектов нормативных правовых актов федерального органа исполнительной власти, в которых данным органом выявлены риски нарушения антимонопольного законодательства (в отчетном периоде);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КНоп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нормативных правовых актов федерального органа исполнительной власти, в которых антимонопольным органом выявлены нарушения антимонопольного законодательства (в отчетном периоде).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Доля нормативных правовых актов федерального органа исполнительной власти, в которых выявлены риски нарушения антимонопольного законодательства, рассчитывается по формуле: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0"/>
          <w:sz w:val="20"/>
          <w:szCs w:val="20"/>
          <w:lang w:eastAsia="ru-RU"/>
        </w:rPr>
        <w:drawing>
          <wp:inline distT="0" distB="0" distL="0" distR="0">
            <wp:extent cx="942975" cy="39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Днпа</w:t>
      </w:r>
      <w:proofErr w:type="spellEnd"/>
      <w:r>
        <w:rPr>
          <w:rFonts w:ascii="Arial" w:hAnsi="Arial" w:cs="Arial"/>
          <w:sz w:val="20"/>
          <w:szCs w:val="20"/>
        </w:rPr>
        <w:t xml:space="preserve"> - доля нормативных правовых актов федерального органа исполнительной власти, в которых выявлены риски нарушения антимонопольного законодательства;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Кпнпа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нормативных правовых актов федерального органа исполнительной власти, в которых данным органом выявлены риски нарушения антимонопольного законодательства (в отчетном периоде);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КНоп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нормативных правовых актов федерального органа исполнительной власти, в которых антимонопольным органом выявлены нарушения антимонопольного законодательства (в отчетном периоде).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Методика расчета ключевых показателей</w:t>
      </w:r>
    </w:p>
    <w:p w:rsidR="00BA4C50" w:rsidRDefault="00BA4C50" w:rsidP="00BA4C5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эффективности функционирования антимонопольного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комплаенса</w:t>
      </w:r>
      <w:proofErr w:type="spellEnd"/>
    </w:p>
    <w:p w:rsidR="00BA4C50" w:rsidRDefault="00BA4C50" w:rsidP="00BA4C5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уполномоченного подразделения (должностного лица)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Для уполномоченного подразделения (должностного лица) рассчитываются следующий КПЭ: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доля сотрудников федерального органа исполнительной власти,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Arial" w:hAnsi="Arial" w:cs="Arial"/>
          <w:sz w:val="20"/>
          <w:szCs w:val="20"/>
        </w:rPr>
        <w:t>комплаенсу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Доля сотрудников федерального органа исполнительной власти,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Arial" w:hAnsi="Arial" w:cs="Arial"/>
          <w:sz w:val="20"/>
          <w:szCs w:val="20"/>
        </w:rPr>
        <w:t>комплаенсу</w:t>
      </w:r>
      <w:proofErr w:type="spellEnd"/>
      <w:r>
        <w:rPr>
          <w:rFonts w:ascii="Arial" w:hAnsi="Arial" w:cs="Arial"/>
          <w:sz w:val="20"/>
          <w:szCs w:val="20"/>
        </w:rPr>
        <w:t>, рассчитывается по формуле: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2"/>
          <w:sz w:val="20"/>
          <w:szCs w:val="20"/>
          <w:lang w:eastAsia="ru-RU"/>
        </w:rPr>
        <w:drawing>
          <wp:inline distT="0" distB="0" distL="0" distR="0">
            <wp:extent cx="990600" cy="409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ДСо</w:t>
      </w:r>
      <w:proofErr w:type="spellEnd"/>
      <w:r>
        <w:rPr>
          <w:rFonts w:ascii="Arial" w:hAnsi="Arial" w:cs="Arial"/>
          <w:sz w:val="20"/>
          <w:szCs w:val="20"/>
        </w:rPr>
        <w:t xml:space="preserve"> - доля сотрудников федерального органа исполнительной власти,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Arial" w:hAnsi="Arial" w:cs="Arial"/>
          <w:sz w:val="20"/>
          <w:szCs w:val="20"/>
        </w:rPr>
        <w:t>комплаенсу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КСо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сотрудников федерального органа исполнительной власти,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Arial" w:hAnsi="Arial" w:cs="Arial"/>
          <w:sz w:val="20"/>
          <w:szCs w:val="20"/>
        </w:rPr>
        <w:t>комплаенсу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КСобщ</w:t>
      </w:r>
      <w:proofErr w:type="spellEnd"/>
      <w:r>
        <w:rPr>
          <w:rFonts w:ascii="Arial" w:hAnsi="Arial" w:cs="Arial"/>
          <w:sz w:val="20"/>
          <w:szCs w:val="20"/>
        </w:rPr>
        <w:t xml:space="preserve"> - общее количество сотрудников федерального органа исполнительной власти,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IV. Оценка значений КПЭ для федерального органа</w:t>
      </w:r>
    </w:p>
    <w:p w:rsidR="00BA4C50" w:rsidRDefault="00BA4C50" w:rsidP="00BA4C5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исполнительной власти в целом и КПЭ для уполномоченного</w:t>
      </w:r>
    </w:p>
    <w:p w:rsidR="00BA4C50" w:rsidRDefault="00BA4C50" w:rsidP="00BA4C5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подразделения (должностного лица)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Оценка значений КПЭ "коэффициент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годом)".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Ключевой показатель "коэффициент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годом)" коррелирует с ключевым показателем мероприятий, предусмотренным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1</w:t>
        </w:r>
      </w:hyperlink>
      <w:r>
        <w:rPr>
          <w:rFonts w:ascii="Arial" w:hAnsi="Arial" w:cs="Arial"/>
          <w:sz w:val="20"/>
          <w:szCs w:val="20"/>
        </w:rPr>
        <w:t xml:space="preserve"> Национального плана развития конкуренции в Российской Федерации на 2018 - 2020 годы (далее - Национальный план), утвержденным Указом Президента РФ от 21.12.2017 N 618 "Об основных направлениях государственной политики по развитию конкуренции", а именно: "снижение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годом".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Ежегодная оценка значения КПЭ "коэффициент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годом)" призвана обеспечить понимание об эффективности функционирования антимонопольного </w:t>
      </w:r>
      <w:proofErr w:type="spellStart"/>
      <w:r>
        <w:rPr>
          <w:rFonts w:ascii="Arial" w:hAnsi="Arial" w:cs="Arial"/>
          <w:sz w:val="20"/>
          <w:szCs w:val="20"/>
        </w:rPr>
        <w:t>комплаенса</w:t>
      </w:r>
      <w:proofErr w:type="spellEnd"/>
      <w:r>
        <w:rPr>
          <w:rFonts w:ascii="Arial" w:hAnsi="Arial" w:cs="Arial"/>
          <w:sz w:val="20"/>
          <w:szCs w:val="20"/>
        </w:rPr>
        <w:t xml:space="preserve"> в федеральном органе исполнительной власти и о соответствии мероприятий антимонопольного </w:t>
      </w:r>
      <w:proofErr w:type="spellStart"/>
      <w:r>
        <w:rPr>
          <w:rFonts w:ascii="Arial" w:hAnsi="Arial" w:cs="Arial"/>
          <w:sz w:val="20"/>
          <w:szCs w:val="20"/>
        </w:rPr>
        <w:t>комплаенса</w:t>
      </w:r>
      <w:proofErr w:type="spellEnd"/>
      <w:r>
        <w:rPr>
          <w:rFonts w:ascii="Arial" w:hAnsi="Arial" w:cs="Arial"/>
          <w:sz w:val="20"/>
          <w:szCs w:val="20"/>
        </w:rPr>
        <w:t xml:space="preserve"> федерального органа исполнительной власти направлениям совершенствования государственной политики по развитию конкуренции, установленных Национальным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Оценка значений КПЭ "доля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законодательства" и "доля </w:t>
      </w:r>
      <w:r>
        <w:rPr>
          <w:rFonts w:ascii="Arial" w:hAnsi="Arial" w:cs="Arial"/>
          <w:sz w:val="20"/>
          <w:szCs w:val="20"/>
        </w:rPr>
        <w:lastRenderedPageBreak/>
        <w:t>нормативных правовых актов федерального органа исполнительной власти, в которых выявлены риски нарушения антимонопольного законодательства".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Оценка вышеуказанных значений КПЭ направлена на понимание эффективности мероприятий антимонопольного </w:t>
      </w:r>
      <w:proofErr w:type="spellStart"/>
      <w:r>
        <w:rPr>
          <w:rFonts w:ascii="Arial" w:hAnsi="Arial" w:cs="Arial"/>
          <w:sz w:val="20"/>
          <w:szCs w:val="20"/>
        </w:rPr>
        <w:t>комплаенса</w:t>
      </w:r>
      <w:proofErr w:type="spellEnd"/>
      <w:r>
        <w:rPr>
          <w:rFonts w:ascii="Arial" w:hAnsi="Arial" w:cs="Arial"/>
          <w:sz w:val="20"/>
          <w:szCs w:val="20"/>
        </w:rPr>
        <w:t xml:space="preserve">, предусмотренных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подпунктами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"в" пункта 15</w:t>
        </w:r>
      </w:hyperlink>
      <w:r>
        <w:rPr>
          <w:rFonts w:ascii="Arial" w:hAnsi="Arial" w:cs="Arial"/>
          <w:sz w:val="20"/>
          <w:szCs w:val="20"/>
        </w:rPr>
        <w:t xml:space="preserve"> Методических рекомендаций.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эффективном проведении мероприятий по анализу нормативных правовых актов федерального органа исполнительной власти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федерального органа исполнительной власти, в отношении которых антимонопольным органом выявлены нарушения антимонопольного законодательства (то есть, низкое значение знаменателя). Таким образом, значение КПЭ будет тем выше, чем эффективней данные мероприятия антимонопольного </w:t>
      </w:r>
      <w:proofErr w:type="spellStart"/>
      <w:r>
        <w:rPr>
          <w:rFonts w:ascii="Arial" w:hAnsi="Arial" w:cs="Arial"/>
          <w:sz w:val="20"/>
          <w:szCs w:val="20"/>
        </w:rPr>
        <w:t>комплаенса</w:t>
      </w:r>
      <w:proofErr w:type="spellEnd"/>
      <w:r>
        <w:rPr>
          <w:rFonts w:ascii="Arial" w:hAnsi="Arial" w:cs="Arial"/>
          <w:sz w:val="20"/>
          <w:szCs w:val="20"/>
        </w:rPr>
        <w:t xml:space="preserve"> будут осуществляться уполномоченным подразделением (должностным лицом). И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Оценка значения КПЭ "сотрудников федерального органа исполнительной власти,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Arial" w:hAnsi="Arial" w:cs="Arial"/>
          <w:sz w:val="20"/>
          <w:szCs w:val="20"/>
        </w:rPr>
        <w:t>комплаенсу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Консультирование и обучение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>
        <w:rPr>
          <w:rFonts w:ascii="Arial" w:hAnsi="Arial" w:cs="Arial"/>
          <w:sz w:val="20"/>
          <w:szCs w:val="20"/>
        </w:rPr>
        <w:t>комплаенсом</w:t>
      </w:r>
      <w:proofErr w:type="spellEnd"/>
      <w:r>
        <w:rPr>
          <w:rFonts w:ascii="Arial" w:hAnsi="Arial" w:cs="Arial"/>
          <w:sz w:val="20"/>
          <w:szCs w:val="20"/>
        </w:rPr>
        <w:t xml:space="preserve">, отнесено к компетенции уполномоченного подразделения (должностного лица) согласно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подпункту "г" пункта 11</w:t>
        </w:r>
      </w:hyperlink>
      <w:r>
        <w:rPr>
          <w:rFonts w:ascii="Arial" w:hAnsi="Arial" w:cs="Arial"/>
          <w:sz w:val="20"/>
          <w:szCs w:val="20"/>
        </w:rPr>
        <w:t xml:space="preserve"> Методических рекомендаций, и направлено на профилактику нарушений требований антимонопольного законодательства в деятельности федерального органа исполнительной власти. В том числе от эффективности работы уполномоченного подразделения (должностного лица) по данному направлению напрямую зависит возможность достижения целей Национального плана, предусмотренных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1</w:t>
        </w:r>
      </w:hyperlink>
      <w:r>
        <w:rPr>
          <w:rFonts w:ascii="Arial" w:hAnsi="Arial" w:cs="Arial"/>
          <w:sz w:val="20"/>
          <w:szCs w:val="20"/>
        </w:rPr>
        <w:t xml:space="preserve"> Национального плана.</w:t>
      </w:r>
    </w:p>
    <w:p w:rsidR="00BA4C50" w:rsidRDefault="00BA4C50" w:rsidP="00BA4C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Расчет данного показателя предусматривает определение сотрудников федерального органа исполнительной власти,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Arial" w:hAnsi="Arial" w:cs="Arial"/>
          <w:sz w:val="20"/>
          <w:szCs w:val="20"/>
        </w:rPr>
        <w:t>комплаенсу</w:t>
      </w:r>
      <w:proofErr w:type="spellEnd"/>
      <w:r>
        <w:rPr>
          <w:rFonts w:ascii="Arial" w:hAnsi="Arial" w:cs="Arial"/>
          <w:sz w:val="20"/>
          <w:szCs w:val="20"/>
        </w:rPr>
        <w:t xml:space="preserve">. Высокое значение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Arial" w:hAnsi="Arial" w:cs="Arial"/>
          <w:sz w:val="20"/>
          <w:szCs w:val="20"/>
        </w:rPr>
        <w:t>комплаенсу</w:t>
      </w:r>
      <w:proofErr w:type="spellEnd"/>
      <w:r>
        <w:rPr>
          <w:rFonts w:ascii="Arial" w:hAnsi="Arial" w:cs="Arial"/>
          <w:sz w:val="20"/>
          <w:szCs w:val="20"/>
        </w:rPr>
        <w:t xml:space="preserve"> (числитель), обеспечивает высокое значение КПЭ.</w:t>
      </w: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4C50" w:rsidRDefault="00BA4C50" w:rsidP="00BA4C5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20CB3" w:rsidRDefault="00BA4C50"/>
    <w:sectPr w:rsidR="00A20CB3" w:rsidSect="00BA4C50">
      <w:type w:val="continuous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38"/>
    <w:rsid w:val="001C647C"/>
    <w:rsid w:val="00263080"/>
    <w:rsid w:val="00667EF1"/>
    <w:rsid w:val="00695BF1"/>
    <w:rsid w:val="00764E55"/>
    <w:rsid w:val="00986038"/>
    <w:rsid w:val="00BA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CE671-556B-4453-A70C-DD336B3F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consultantplus://offline/ref=2C744D63B6A0A3AA38458D662FA719A1695C28E0ED5BDCCA9B2B81A3131E1E28A4504AD7E332274BB53D8994529EA8522CF498A564EF16B2RBK7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2C744D63B6A0A3AA38458D662FA719A1695C28E0ED5BDCCA9B2B81A3131E1E28A4504AD7E332274BB63D8994529EA8522CF498A564EF16B2RBK7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2C744D63B6A0A3AA38458D662FA719A1685424E4EC59DCCA9B2B81A3131E1E28A4504AD7E3322749B03D8994529EA8522CF498A564EF16B2RBK7M" TargetMode="External"/><Relationship Id="rId5" Type="http://schemas.openxmlformats.org/officeDocument/2006/relationships/hyperlink" Target="consultantplus://offline/ref=2C744D63B6A0A3AA38458D662FA719A1695C28E0ED5BDCCA9B2B81A3131E1E28A4504AD7E332264CB23D8994529EA8522CF498A564EF16B2RBK7M" TargetMode="External"/><Relationship Id="rId15" Type="http://schemas.openxmlformats.org/officeDocument/2006/relationships/hyperlink" Target="consultantplus://offline/ref=2C744D63B6A0A3AA38458D662FA719A1685424E4EC59DCCA9B2B81A3131E1E28A4504AD7E332274AB73D8994529EA8522CF498A564EF16B2RBK7M" TargetMode="External"/><Relationship Id="rId10" Type="http://schemas.openxmlformats.org/officeDocument/2006/relationships/hyperlink" Target="consultantplus://offline/ref=2C744D63B6A0A3AA38458D662FA719A1685424E4EC59DCCA9B2B81A3131E1E28A4504AD7E332274AB73D8994529EA8522CF498A564EF16B2RBK7M" TargetMode="External"/><Relationship Id="rId4" Type="http://schemas.openxmlformats.org/officeDocument/2006/relationships/hyperlink" Target="consultantplus://offline/ref=2C744D63B6A0A3AA38458D662FA719A1695C28E0ED5BDCCA9B2B81A3131E1E28A4504AD7E332264CB23D8994529EA8522CF498A564EF16B2RBK7M" TargetMode="External"/><Relationship Id="rId9" Type="http://schemas.openxmlformats.org/officeDocument/2006/relationships/image" Target="media/image4.wmf"/><Relationship Id="rId14" Type="http://schemas.openxmlformats.org/officeDocument/2006/relationships/hyperlink" Target="consultantplus://offline/ref=2C744D63B6A0A3AA38458D662FA719A1695C28E0ED5BDCCA9B2B81A3131E1E28A4504AD7E3322749B13D8994529EA8522CF498A564EF16B2RBK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Гандалоева Лейла Борисовна</dc:creator>
  <cp:keywords/>
  <dc:description/>
  <cp:lastModifiedBy>Гандалоева Лейла Борисовна</cp:lastModifiedBy>
  <cp:revision>2</cp:revision>
  <dcterms:created xsi:type="dcterms:W3CDTF">2021-08-05T12:11:00Z</dcterms:created>
  <dcterms:modified xsi:type="dcterms:W3CDTF">2021-08-05T12:11:00Z</dcterms:modified>
</cp:coreProperties>
</file>