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9" w:rsidRPr="0028240C" w:rsidRDefault="006F4D09" w:rsidP="006F4D0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протоколом № 2 заочного заседания Совета по оценке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городской округ город-курорт Сочи Краснодарского края </w:t>
      </w:r>
    </w:p>
    <w:p w:rsidR="006F4D09" w:rsidRDefault="006F4D09" w:rsidP="006F4D09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09" w:rsidRDefault="006F4D09" w:rsidP="006F4D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09" w:rsidRPr="006D5F1B" w:rsidRDefault="006F4D09" w:rsidP="006F4D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1B">
        <w:rPr>
          <w:rFonts w:ascii="Times New Roman" w:hAnsi="Times New Roman" w:cs="Times New Roman"/>
          <w:b/>
          <w:sz w:val="28"/>
          <w:szCs w:val="28"/>
        </w:rPr>
        <w:t>Доклад об антимоноп</w:t>
      </w:r>
      <w:bookmarkStart w:id="0" w:name="_GoBack"/>
      <w:bookmarkEnd w:id="0"/>
      <w:r w:rsidRPr="006D5F1B">
        <w:rPr>
          <w:rFonts w:ascii="Times New Roman" w:hAnsi="Times New Roman" w:cs="Times New Roman"/>
          <w:b/>
          <w:sz w:val="28"/>
          <w:szCs w:val="28"/>
        </w:rPr>
        <w:t xml:space="preserve">ольном </w:t>
      </w:r>
      <w:proofErr w:type="spellStart"/>
      <w:r w:rsidRPr="006D5F1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6D5F1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5F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4D09" w:rsidRPr="006D5F1B" w:rsidRDefault="006F4D09" w:rsidP="006F4D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09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</w:t>
      </w:r>
      <w:r w:rsidRPr="00631B53">
        <w:rPr>
          <w:rFonts w:ascii="Times New Roman" w:hAnsi="Times New Roman" w:cs="Times New Roman"/>
          <w:sz w:val="28"/>
          <w:szCs w:val="28"/>
        </w:rPr>
        <w:br/>
        <w:t xml:space="preserve">№ 618 «Об основных направлениях государственно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муниципального образования городской округ город-курорт Сочи Краснодарского края от 4 апреля 2022 года № 888 «Об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31B53">
        <w:rPr>
          <w:rFonts w:ascii="Times New Roman" w:hAnsi="Times New Roman" w:cs="Times New Roman"/>
          <w:sz w:val="28"/>
          <w:szCs w:val="28"/>
        </w:rPr>
        <w:t>) в администрации муниципального образования городской округ город-курорт Сочи Краснодарского края» (далее – постановление) подготовлен доклад.</w:t>
      </w:r>
    </w:p>
    <w:p w:rsidR="006F4D09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ED">
        <w:rPr>
          <w:rFonts w:ascii="Times New Roman" w:hAnsi="Times New Roman" w:cs="Times New Roman"/>
          <w:sz w:val="28"/>
          <w:szCs w:val="28"/>
        </w:rPr>
        <w:t xml:space="preserve">С 2019 года в администрации муниципального образования городской округ город-курорт Сочи Краснодарского края организована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Pr="005301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301ED">
        <w:rPr>
          <w:rFonts w:ascii="Times New Roman" w:hAnsi="Times New Roman" w:cs="Times New Roman"/>
          <w:sz w:val="28"/>
          <w:szCs w:val="28"/>
        </w:rPr>
        <w:t>).</w:t>
      </w:r>
    </w:p>
    <w:p w:rsidR="006F4D09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ED">
        <w:rPr>
          <w:rFonts w:ascii="Times New Roman" w:hAnsi="Times New Roman" w:cs="Times New Roman"/>
          <w:sz w:val="28"/>
          <w:szCs w:val="28"/>
        </w:rPr>
        <w:t xml:space="preserve">Функции по организации и функционированию антимонопольного </w:t>
      </w:r>
      <w:proofErr w:type="spellStart"/>
      <w:r w:rsidRPr="005301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301ED">
        <w:rPr>
          <w:rFonts w:ascii="Times New Roman" w:hAnsi="Times New Roman" w:cs="Times New Roman"/>
          <w:sz w:val="28"/>
          <w:szCs w:val="28"/>
        </w:rPr>
        <w:t xml:space="preserve"> возложены на отраслевые (функциональные) органы, в </w:t>
      </w:r>
      <w:proofErr w:type="spellStart"/>
      <w:r w:rsidRPr="005301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301ED">
        <w:rPr>
          <w:rFonts w:ascii="Times New Roman" w:hAnsi="Times New Roman" w:cs="Times New Roman"/>
          <w:sz w:val="28"/>
          <w:szCs w:val="28"/>
        </w:rPr>
        <w:t>.:</w:t>
      </w:r>
    </w:p>
    <w:p w:rsidR="006F4D09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D09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правовой департамент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D09" w:rsidRPr="002168D7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6F4D09" w:rsidRPr="00631B53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 xml:space="preserve">Рассмотрение и оценка плана мероприятий («дорожной карты») по снижению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31B53">
        <w:rPr>
          <w:rFonts w:ascii="Times New Roman" w:hAnsi="Times New Roman" w:cs="Times New Roman"/>
          <w:sz w:val="28"/>
          <w:szCs w:val="28"/>
        </w:rPr>
        <w:t xml:space="preserve">-рисков в администрации в части, касающейся функционирования антимонопольного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31B53">
        <w:rPr>
          <w:rFonts w:ascii="Times New Roman" w:hAnsi="Times New Roman" w:cs="Times New Roman"/>
          <w:sz w:val="28"/>
          <w:szCs w:val="28"/>
        </w:rPr>
        <w:t>, возложена на Совет по оценке эффективности организации и функционирования антимонопольного комплекса в администрации муниципального образования городской округ город-курорт Сочи Краснодарского края.</w:t>
      </w:r>
    </w:p>
    <w:p w:rsidR="006F4D09" w:rsidRPr="00631B53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открытости и </w:t>
      </w:r>
      <w:r w:rsidR="00EE7AC0">
        <w:rPr>
          <w:rFonts w:ascii="Times New Roman" w:hAnsi="Times New Roman" w:cs="Times New Roman"/>
          <w:sz w:val="28"/>
          <w:szCs w:val="28"/>
        </w:rPr>
        <w:t>доступности</w:t>
      </w:r>
      <w:r w:rsidRPr="00631B53">
        <w:rPr>
          <w:rFonts w:ascii="Times New Roman" w:hAnsi="Times New Roman" w:cs="Times New Roman"/>
          <w:sz w:val="28"/>
          <w:szCs w:val="28"/>
        </w:rPr>
        <w:t xml:space="preserve"> информации о выявленных нарушениях, рисках, принимаемых в этой связи мерах, на официальном сайте администрации создан раздел «</w:t>
      </w:r>
      <w:r w:rsidR="00EE7AC0">
        <w:rPr>
          <w:rFonts w:ascii="Times New Roman" w:hAnsi="Times New Roman" w:cs="Times New Roman"/>
          <w:sz w:val="28"/>
          <w:szCs w:val="28"/>
        </w:rPr>
        <w:t>А</w:t>
      </w:r>
      <w:r w:rsidRPr="00631B53">
        <w:rPr>
          <w:rFonts w:ascii="Times New Roman" w:hAnsi="Times New Roman" w:cs="Times New Roman"/>
          <w:sz w:val="28"/>
          <w:szCs w:val="28"/>
        </w:rPr>
        <w:t xml:space="preserve">нтимонопольный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31B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4D09" w:rsidRPr="00631B53" w:rsidRDefault="006F4D09" w:rsidP="006F4D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631B53">
          <w:rPr>
            <w:rStyle w:val="a5"/>
            <w:rFonts w:ascii="Times New Roman" w:hAnsi="Times New Roman" w:cs="Times New Roman"/>
            <w:sz w:val="24"/>
            <w:szCs w:val="24"/>
          </w:rPr>
          <w:t>https://sochi.ru/zhizn-goroda/ekonomika/standt-razv-konkur/antimonopolnyy-komplaens/</w:t>
        </w:r>
      </w:hyperlink>
      <w:r w:rsidRPr="00631B53">
        <w:rPr>
          <w:rFonts w:ascii="Times New Roman" w:hAnsi="Times New Roman" w:cs="Times New Roman"/>
          <w:sz w:val="24"/>
          <w:szCs w:val="24"/>
        </w:rPr>
        <w:t>)</w:t>
      </w:r>
      <w:r w:rsidR="00EE7AC0">
        <w:rPr>
          <w:rFonts w:ascii="Times New Roman" w:hAnsi="Times New Roman" w:cs="Times New Roman"/>
          <w:sz w:val="24"/>
          <w:szCs w:val="24"/>
        </w:rPr>
        <w:t>.</w:t>
      </w:r>
    </w:p>
    <w:p w:rsidR="006F4D09" w:rsidRPr="00631B53" w:rsidRDefault="006F4D09" w:rsidP="006F4D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Pr="00631B53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b/>
          <w:sz w:val="28"/>
          <w:szCs w:val="28"/>
        </w:rPr>
        <w:t>1. Информация о результатах проведенной оценк</w:t>
      </w:r>
      <w:r w:rsidR="00EE7AC0">
        <w:rPr>
          <w:rFonts w:ascii="Times New Roman" w:hAnsi="Times New Roman" w:cs="Times New Roman"/>
          <w:b/>
          <w:sz w:val="28"/>
          <w:szCs w:val="28"/>
        </w:rPr>
        <w:t>и</w:t>
      </w:r>
      <w:r w:rsidRPr="00631B53"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законодательства.</w:t>
      </w:r>
    </w:p>
    <w:p w:rsidR="00EE7AC0" w:rsidRDefault="006F4D09" w:rsidP="00EE7AC0">
      <w:pPr>
        <w:pStyle w:val="Default"/>
        <w:ind w:left="284" w:firstLine="567"/>
        <w:jc w:val="both"/>
        <w:rPr>
          <w:sz w:val="28"/>
          <w:szCs w:val="28"/>
        </w:rPr>
      </w:pPr>
      <w:r w:rsidRPr="00631B53">
        <w:rPr>
          <w:sz w:val="28"/>
          <w:szCs w:val="28"/>
        </w:rPr>
        <w:t>Проведен анализ выявленных нарушений антимонопольного законодательства</w:t>
      </w:r>
      <w:r>
        <w:rPr>
          <w:sz w:val="28"/>
          <w:szCs w:val="28"/>
        </w:rPr>
        <w:t xml:space="preserve"> за</w:t>
      </w:r>
      <w:r w:rsidRPr="004A5736">
        <w:rPr>
          <w:sz w:val="28"/>
          <w:szCs w:val="28"/>
        </w:rPr>
        <w:t xml:space="preserve"> </w:t>
      </w:r>
      <w:r w:rsidRPr="00631B53">
        <w:rPr>
          <w:sz w:val="28"/>
          <w:szCs w:val="28"/>
        </w:rPr>
        <w:t>202</w:t>
      </w:r>
      <w:r w:rsidRPr="005301ED">
        <w:rPr>
          <w:sz w:val="28"/>
          <w:szCs w:val="28"/>
        </w:rPr>
        <w:t>1</w:t>
      </w:r>
      <w:r w:rsidRPr="00631B53">
        <w:rPr>
          <w:sz w:val="28"/>
          <w:szCs w:val="28"/>
        </w:rPr>
        <w:t>-202</w:t>
      </w:r>
      <w:r w:rsidRPr="005301ED">
        <w:rPr>
          <w:sz w:val="28"/>
          <w:szCs w:val="28"/>
        </w:rPr>
        <w:t>3</w:t>
      </w:r>
      <w:r w:rsidRPr="00631B53">
        <w:rPr>
          <w:sz w:val="28"/>
          <w:szCs w:val="28"/>
        </w:rPr>
        <w:t xml:space="preserve"> годы, по результатам установлено следующее.</w:t>
      </w:r>
    </w:p>
    <w:p w:rsidR="006F4D09" w:rsidRDefault="006F4D09" w:rsidP="00EE7AC0">
      <w:pPr>
        <w:pStyle w:val="Default"/>
        <w:ind w:left="284" w:firstLine="567"/>
        <w:jc w:val="both"/>
        <w:rPr>
          <w:sz w:val="28"/>
          <w:szCs w:val="28"/>
        </w:rPr>
      </w:pPr>
      <w:r w:rsidRPr="00631B53">
        <w:rPr>
          <w:sz w:val="28"/>
          <w:szCs w:val="28"/>
        </w:rPr>
        <w:t xml:space="preserve">Основными нарушениями являлись  нарушения при организации и проведении конкурса на право заключения договора управления многоквартирными домами, нарушения при выдаче разрешений на установку и эксплуатацию рекламных конструкций и </w:t>
      </w:r>
      <w:proofErr w:type="spellStart"/>
      <w:r w:rsidRPr="00631B53">
        <w:rPr>
          <w:sz w:val="28"/>
          <w:szCs w:val="28"/>
        </w:rPr>
        <w:t>непроведение</w:t>
      </w:r>
      <w:proofErr w:type="spellEnd"/>
      <w:r w:rsidRPr="00631B53">
        <w:rPr>
          <w:sz w:val="28"/>
          <w:szCs w:val="28"/>
        </w:rPr>
        <w:t xml:space="preserve"> торгов для заключения договора на установку и эксплуатацию рекламной конструкции на земельном участке, находящемся в муниципальной собственности г. Сочи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г. Сочи, а также в </w:t>
      </w:r>
      <w:proofErr w:type="spellStart"/>
      <w:r w:rsidRPr="00631B53">
        <w:rPr>
          <w:sz w:val="28"/>
          <w:szCs w:val="28"/>
        </w:rPr>
        <w:t>недемонтаже</w:t>
      </w:r>
      <w:proofErr w:type="spellEnd"/>
      <w:r w:rsidRPr="00631B53">
        <w:rPr>
          <w:sz w:val="28"/>
          <w:szCs w:val="28"/>
        </w:rPr>
        <w:t xml:space="preserve"> незаконно установленных и эксплуатируемых рекламных конструкций без действующих разрешений</w:t>
      </w:r>
      <w:r w:rsidRPr="006166C2">
        <w:rPr>
          <w:sz w:val="28"/>
          <w:szCs w:val="28"/>
        </w:rPr>
        <w:t>, нарушения на право заключения договора аренды недвижимого имущества, нарушения порядка проведения торгов (неверное применение порядка оценки не стоимостных критериев, создание преимущественных условий для заранее определенных участников при проведении).</w:t>
      </w:r>
    </w:p>
    <w:p w:rsidR="006F4D09" w:rsidRDefault="006F4D09" w:rsidP="006F4D09">
      <w:pPr>
        <w:pStyle w:val="Default"/>
        <w:ind w:left="284" w:firstLine="567"/>
        <w:jc w:val="both"/>
        <w:rPr>
          <w:sz w:val="28"/>
          <w:szCs w:val="28"/>
        </w:rPr>
      </w:pPr>
      <w:r w:rsidRPr="00631B53">
        <w:rPr>
          <w:sz w:val="28"/>
          <w:szCs w:val="28"/>
        </w:rPr>
        <w:t xml:space="preserve">Таким образом по результатам мониторинга и анализа практики применения антимонопольными органами антимонопольного законодательства, нарушения вышеуказанной деятельности в установленные сроки устранены. </w:t>
      </w:r>
    </w:p>
    <w:p w:rsidR="006F4D09" w:rsidRPr="00631B53" w:rsidRDefault="006F4D09" w:rsidP="006F4D09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Проанализированные проблемы легли в основу плана мероприятий (</w:t>
      </w:r>
      <w:r w:rsidR="00EE7AC0">
        <w:rPr>
          <w:sz w:val="28"/>
          <w:szCs w:val="28"/>
        </w:rPr>
        <w:t>«</w:t>
      </w:r>
      <w:r>
        <w:rPr>
          <w:sz w:val="28"/>
          <w:szCs w:val="28"/>
        </w:rPr>
        <w:t>дорожная карта</w:t>
      </w:r>
      <w:r w:rsidR="00EE7AC0">
        <w:rPr>
          <w:sz w:val="28"/>
          <w:szCs w:val="28"/>
        </w:rPr>
        <w:t>»</w:t>
      </w:r>
      <w:r>
        <w:rPr>
          <w:sz w:val="28"/>
          <w:szCs w:val="28"/>
        </w:rPr>
        <w:t>) по снижению рисков нарушения антимонопольного законодательства на 2024 год, реализация которого позволит поэтапно приблизит</w:t>
      </w:r>
      <w:r w:rsidR="00EE7AC0">
        <w:rPr>
          <w:sz w:val="28"/>
          <w:szCs w:val="28"/>
        </w:rPr>
        <w:t>ь</w:t>
      </w:r>
      <w:r>
        <w:rPr>
          <w:sz w:val="28"/>
          <w:szCs w:val="28"/>
        </w:rPr>
        <w:t>ся к качественному улучшению соблюдения антимонопольного законодательство и снижению рисков аналогичных нарушений.</w:t>
      </w:r>
    </w:p>
    <w:p w:rsidR="006F4D09" w:rsidRPr="00631B53" w:rsidRDefault="006F4D09" w:rsidP="006F4D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09" w:rsidRPr="005E39AA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9AA">
        <w:rPr>
          <w:rFonts w:ascii="Times New Roman" w:hAnsi="Times New Roman" w:cs="Times New Roman"/>
          <w:b/>
          <w:sz w:val="28"/>
          <w:szCs w:val="28"/>
        </w:rPr>
        <w:t>2. Анализ нормативных правовых актов и прое</w:t>
      </w:r>
      <w:r w:rsidR="00EE7AC0">
        <w:rPr>
          <w:rFonts w:ascii="Times New Roman" w:hAnsi="Times New Roman" w:cs="Times New Roman"/>
          <w:b/>
          <w:sz w:val="28"/>
          <w:szCs w:val="28"/>
        </w:rPr>
        <w:t>ктов нормативных правовых актов.</w:t>
      </w:r>
    </w:p>
    <w:p w:rsidR="006F4D09" w:rsidRPr="005E39AA" w:rsidRDefault="006F4D09" w:rsidP="006F4D0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9AA">
        <w:rPr>
          <w:rFonts w:ascii="Times New Roman" w:hAnsi="Times New Roman" w:cs="Times New Roman"/>
          <w:sz w:val="28"/>
          <w:szCs w:val="28"/>
        </w:rPr>
        <w:t xml:space="preserve">В рамках анализа проектов нормативных правовых актов организован сбор и проведением оценки поступивших замечаний и предложений по проектам нормативных правовых актов. За </w:t>
      </w:r>
      <w:r w:rsidR="00EE7AC0">
        <w:rPr>
          <w:rFonts w:ascii="Times New Roman" w:hAnsi="Times New Roman" w:cs="Times New Roman"/>
          <w:sz w:val="28"/>
          <w:szCs w:val="28"/>
        </w:rPr>
        <w:t>отчетный</w:t>
      </w:r>
      <w:r w:rsidRPr="005E39AA">
        <w:rPr>
          <w:rFonts w:ascii="Times New Roman" w:hAnsi="Times New Roman" w:cs="Times New Roman"/>
          <w:sz w:val="28"/>
          <w:szCs w:val="28"/>
        </w:rPr>
        <w:t xml:space="preserve"> период по размещенным проектам замечаний и предложений не поступило.</w:t>
      </w:r>
    </w:p>
    <w:p w:rsidR="006F4D09" w:rsidRPr="00631B53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53">
        <w:rPr>
          <w:rFonts w:ascii="Times New Roman" w:hAnsi="Times New Roman" w:cs="Times New Roman"/>
          <w:b/>
          <w:sz w:val="28"/>
          <w:szCs w:val="28"/>
        </w:rPr>
        <w:t>3. Об исполнении мероприятий по снижению рисков нарушения антимонопольного з</w:t>
      </w:r>
      <w:r w:rsidR="006D2EF3">
        <w:rPr>
          <w:rFonts w:ascii="Times New Roman" w:hAnsi="Times New Roman" w:cs="Times New Roman"/>
          <w:b/>
          <w:sz w:val="28"/>
          <w:szCs w:val="28"/>
        </w:rPr>
        <w:t>аконодательства.</w:t>
      </w:r>
    </w:p>
    <w:p w:rsidR="006F4D09" w:rsidRPr="002168D7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7">
        <w:rPr>
          <w:rFonts w:ascii="Times New Roman" w:hAnsi="Times New Roman" w:cs="Times New Roman"/>
          <w:sz w:val="28"/>
          <w:szCs w:val="28"/>
        </w:rPr>
        <w:t xml:space="preserve">Выявление и оценка </w:t>
      </w:r>
      <w:proofErr w:type="spellStart"/>
      <w:r w:rsidRPr="002168D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68D7">
        <w:rPr>
          <w:rFonts w:ascii="Times New Roman" w:hAnsi="Times New Roman" w:cs="Times New Roman"/>
          <w:sz w:val="28"/>
          <w:szCs w:val="28"/>
        </w:rPr>
        <w:t xml:space="preserve">-рисков, определение вероятности возникновения </w:t>
      </w:r>
      <w:proofErr w:type="spellStart"/>
      <w:r w:rsidRPr="002168D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68D7">
        <w:rPr>
          <w:rFonts w:ascii="Times New Roman" w:hAnsi="Times New Roman" w:cs="Times New Roman"/>
          <w:sz w:val="28"/>
          <w:szCs w:val="28"/>
        </w:rPr>
        <w:t xml:space="preserve">-рисков осуществляется правовым департаментом в рамках согласования поступающих на рассмотрение проектов договоров, соглашений и контрактов (в том числе муниципальных контрактов), стороной в которых выступает администрация муниципального образования городской округ </w:t>
      </w:r>
      <w:r w:rsidRPr="002168D7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Сочи </w:t>
      </w:r>
      <w:proofErr w:type="spellStart"/>
      <w:r w:rsidRPr="002168D7">
        <w:rPr>
          <w:rFonts w:ascii="Times New Roman" w:hAnsi="Times New Roman" w:cs="Times New Roman"/>
          <w:sz w:val="28"/>
          <w:szCs w:val="28"/>
        </w:rPr>
        <w:t>Краснодарcкого</w:t>
      </w:r>
      <w:proofErr w:type="spellEnd"/>
      <w:r w:rsidRPr="002168D7">
        <w:rPr>
          <w:rFonts w:ascii="Times New Roman" w:hAnsi="Times New Roman" w:cs="Times New Roman"/>
          <w:sz w:val="28"/>
          <w:szCs w:val="28"/>
        </w:rPr>
        <w:t xml:space="preserve"> края, а также ее отраслевые (функциональные) органы, в случаях, предусмотренных муниципальными правовыми актами. </w:t>
      </w:r>
    </w:p>
    <w:p w:rsidR="006F4D09" w:rsidRDefault="006F4D09" w:rsidP="00EE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D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Pr="002168D7">
        <w:rPr>
          <w:rFonts w:ascii="Times New Roman" w:hAnsi="Times New Roman" w:cs="Times New Roman"/>
          <w:sz w:val="28"/>
          <w:szCs w:val="28"/>
        </w:rPr>
        <w:t xml:space="preserve"> в правовой департамент </w:t>
      </w:r>
      <w:r>
        <w:rPr>
          <w:rFonts w:ascii="Times New Roman" w:hAnsi="Times New Roman" w:cs="Times New Roman"/>
          <w:sz w:val="28"/>
          <w:szCs w:val="28"/>
        </w:rPr>
        <w:t>поступил 331 проект договоров и</w:t>
      </w:r>
      <w:r w:rsidR="00EE7AC0">
        <w:rPr>
          <w:rFonts w:ascii="Times New Roman" w:hAnsi="Times New Roman" w:cs="Times New Roman"/>
          <w:sz w:val="28"/>
          <w:szCs w:val="28"/>
        </w:rPr>
        <w:t xml:space="preserve"> </w:t>
      </w:r>
      <w:r w:rsidRPr="002168D7">
        <w:rPr>
          <w:rFonts w:ascii="Times New Roman" w:hAnsi="Times New Roman" w:cs="Times New Roman"/>
          <w:sz w:val="28"/>
          <w:szCs w:val="28"/>
        </w:rPr>
        <w:t xml:space="preserve">соглашений, из которых: 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Протоколов о намерениях по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твию в сфере инвестиций – 41; 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Соглашений о взаимодействии (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сотрудничестве) – 98 проектов;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Дополнительных соглашени</w:t>
      </w:r>
      <w:r>
        <w:rPr>
          <w:rFonts w:ascii="Times New Roman" w:hAnsi="Times New Roman" w:cs="Times New Roman"/>
          <w:sz w:val="28"/>
          <w:szCs w:val="28"/>
        </w:rPr>
        <w:t xml:space="preserve">й к Соглашениям – 99 проектов;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Договоро</w:t>
      </w:r>
      <w:r>
        <w:rPr>
          <w:rFonts w:ascii="Times New Roman" w:hAnsi="Times New Roman" w:cs="Times New Roman"/>
          <w:sz w:val="28"/>
          <w:szCs w:val="28"/>
        </w:rPr>
        <w:t xml:space="preserve">в пожертвований – 18 проектов;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Соглашений о предоставлении субв</w:t>
      </w:r>
      <w:r>
        <w:rPr>
          <w:rFonts w:ascii="Times New Roman" w:hAnsi="Times New Roman" w:cs="Times New Roman"/>
          <w:sz w:val="28"/>
          <w:szCs w:val="28"/>
        </w:rPr>
        <w:t xml:space="preserve">енций (субсидий) – 44 проекта;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8D7">
        <w:rPr>
          <w:rFonts w:ascii="Times New Roman" w:hAnsi="Times New Roman" w:cs="Times New Roman"/>
          <w:sz w:val="28"/>
          <w:szCs w:val="28"/>
        </w:rPr>
        <w:t>Дополнительных соглашений к Соглаше</w:t>
      </w:r>
      <w:r>
        <w:rPr>
          <w:rFonts w:ascii="Times New Roman" w:hAnsi="Times New Roman" w:cs="Times New Roman"/>
          <w:sz w:val="28"/>
          <w:szCs w:val="28"/>
        </w:rPr>
        <w:t>ниям о предоставлении субвенций</w:t>
      </w:r>
    </w:p>
    <w:p w:rsidR="006F4D09" w:rsidRPr="002168D7" w:rsidRDefault="006F4D09" w:rsidP="006F4D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8D7">
        <w:rPr>
          <w:rFonts w:ascii="Times New Roman" w:hAnsi="Times New Roman" w:cs="Times New Roman"/>
          <w:sz w:val="28"/>
          <w:szCs w:val="28"/>
        </w:rPr>
        <w:t xml:space="preserve">–  31 проект. </w:t>
      </w:r>
    </w:p>
    <w:p w:rsidR="006F4D09" w:rsidRPr="002168D7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D7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вышеуказанных проектах не выявлены.  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>Все мероприятия по снижению рисков нарушения антимонопольного законодательства в администрации исполнены, обеспечен</w:t>
      </w:r>
      <w:r w:rsidR="00EE7AC0">
        <w:rPr>
          <w:rFonts w:ascii="Times New Roman" w:hAnsi="Times New Roman" w:cs="Times New Roman"/>
          <w:sz w:val="28"/>
          <w:szCs w:val="28"/>
        </w:rPr>
        <w:t>ы</w:t>
      </w:r>
      <w:r w:rsidRPr="00631B53">
        <w:rPr>
          <w:rFonts w:ascii="Times New Roman" w:hAnsi="Times New Roman" w:cs="Times New Roman"/>
          <w:sz w:val="28"/>
          <w:szCs w:val="28"/>
        </w:rPr>
        <w:t xml:space="preserve"> минимизация рисков</w:t>
      </w:r>
      <w:r w:rsidR="00EE7AC0">
        <w:rPr>
          <w:rFonts w:ascii="Times New Roman" w:hAnsi="Times New Roman" w:cs="Times New Roman"/>
          <w:sz w:val="28"/>
          <w:szCs w:val="28"/>
        </w:rPr>
        <w:t xml:space="preserve"> и</w:t>
      </w:r>
      <w:r w:rsidRPr="00631B53">
        <w:rPr>
          <w:rFonts w:ascii="Times New Roman" w:hAnsi="Times New Roman" w:cs="Times New Roman"/>
          <w:sz w:val="28"/>
          <w:szCs w:val="28"/>
        </w:rPr>
        <w:t xml:space="preserve"> соблюдение антимонопольного законодательства.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157F">
        <w:rPr>
          <w:rFonts w:ascii="Times New Roman" w:hAnsi="Times New Roman" w:cs="Times New Roman"/>
          <w:b/>
          <w:sz w:val="28"/>
          <w:szCs w:val="28"/>
        </w:rPr>
        <w:t>. Информация о проведении ознакомл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служащих с антимонопольным </w:t>
      </w:r>
      <w:proofErr w:type="spellStart"/>
      <w:r w:rsidRPr="0013157F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  <w:r w:rsidRPr="001315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о проведении обучающих </w:t>
      </w:r>
      <w:r w:rsidRPr="0013157F">
        <w:rPr>
          <w:rFonts w:ascii="Times New Roman" w:hAnsi="Times New Roman" w:cs="Times New Roman"/>
          <w:b/>
          <w:sz w:val="28"/>
          <w:szCs w:val="28"/>
        </w:rPr>
        <w:t>мероприятий.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09">
        <w:rPr>
          <w:rFonts w:ascii="Times New Roman" w:hAnsi="Times New Roman" w:cs="Times New Roman"/>
          <w:sz w:val="28"/>
          <w:szCs w:val="28"/>
        </w:rPr>
        <w:t>Департамент муниципальной службы и кадровой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>города Сочи обеспечивает ознакомление гражданина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>поступающего на муниципальную службу в администрацию, с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>Краснодарского края от 4 апреля 2022 год</w:t>
      </w:r>
      <w:r>
        <w:rPr>
          <w:rFonts w:ascii="Times New Roman" w:hAnsi="Times New Roman" w:cs="Times New Roman"/>
          <w:sz w:val="28"/>
          <w:szCs w:val="28"/>
        </w:rPr>
        <w:t xml:space="preserve">а № 888 «Об организации системы </w:t>
      </w:r>
      <w:r w:rsidRPr="006F4D09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 xml:space="preserve">законодательства (антимонопольный </w:t>
      </w:r>
      <w:proofErr w:type="spellStart"/>
      <w:r w:rsidRPr="006F4D0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F4D09">
        <w:rPr>
          <w:rFonts w:ascii="Times New Roman" w:hAnsi="Times New Roman" w:cs="Times New Roman"/>
          <w:sz w:val="28"/>
          <w:szCs w:val="28"/>
        </w:rPr>
        <w:t>) в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город-курорт Сочи Краснодарского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 xml:space="preserve">(первичный инструктаж).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1B53">
        <w:rPr>
          <w:rFonts w:ascii="Times New Roman" w:hAnsi="Times New Roman" w:cs="Times New Roman"/>
          <w:b/>
          <w:sz w:val="28"/>
          <w:szCs w:val="28"/>
        </w:rPr>
        <w:t xml:space="preserve">. О достижении ключевых показателей эффективности антимонопольного </w:t>
      </w:r>
      <w:proofErr w:type="spellStart"/>
      <w:r w:rsidRPr="00631B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31B53">
        <w:rPr>
          <w:rFonts w:ascii="Times New Roman" w:hAnsi="Times New Roman" w:cs="Times New Roman"/>
          <w:b/>
          <w:sz w:val="28"/>
          <w:szCs w:val="28"/>
        </w:rPr>
        <w:t>.</w:t>
      </w:r>
    </w:p>
    <w:p w:rsidR="006F4D09" w:rsidRPr="003B4011" w:rsidRDefault="006F4D09" w:rsidP="006F4D0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 xml:space="preserve">Руководствуясь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31B53">
        <w:rPr>
          <w:rFonts w:ascii="Times New Roman" w:hAnsi="Times New Roman" w:cs="Times New Roman"/>
          <w:sz w:val="28"/>
          <w:szCs w:val="28"/>
        </w:rPr>
        <w:t xml:space="preserve">, утвержденной приказом ФАС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631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31B53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034</w:t>
      </w:r>
      <w:r w:rsidRPr="00631B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1B53">
        <w:rPr>
          <w:rFonts w:ascii="Times New Roman" w:hAnsi="Times New Roman" w:cs="Times New Roman"/>
          <w:sz w:val="28"/>
          <w:szCs w:val="28"/>
        </w:rPr>
        <w:t xml:space="preserve">, уполномоченным органом определены ключевые показатели эффективности антимонопольного </w:t>
      </w:r>
      <w:proofErr w:type="spellStart"/>
      <w:r w:rsidRPr="00631B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31B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края:</w:t>
      </w:r>
    </w:p>
    <w:p w:rsidR="006F4D09" w:rsidRPr="00631B53" w:rsidRDefault="006F4D09" w:rsidP="00E719B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 xml:space="preserve">а) </w:t>
      </w:r>
      <w:r w:rsidRPr="00483824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за последние три года</w:t>
      </w:r>
    </w:p>
    <w:p w:rsidR="006F4D09" w:rsidRPr="00483824" w:rsidRDefault="006F4D09" w:rsidP="006F4D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noProof/>
          <w:position w:val="-16"/>
          <w:sz w:val="16"/>
          <w:szCs w:val="16"/>
          <w:lang w:eastAsia="ru-RU"/>
        </w:rPr>
        <w:drawing>
          <wp:inline distT="0" distB="0" distL="0" distR="0" wp14:anchorId="7ABF4A24" wp14:editId="178C3886">
            <wp:extent cx="10001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53">
        <w:rPr>
          <w:rFonts w:ascii="Times New Roman" w:hAnsi="Times New Roman" w:cs="Times New Roman"/>
          <w:sz w:val="28"/>
          <w:szCs w:val="28"/>
        </w:rPr>
        <w:t> где</w:t>
      </w:r>
    </w:p>
    <w:p w:rsidR="006F4D09" w:rsidRPr="006D2EF3" w:rsidRDefault="006F4D09" w:rsidP="006D2EF3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6D2EF3">
        <w:rPr>
          <w:rFonts w:ascii="Times New Roman" w:hAnsi="Times New Roman" w:cs="Times New Roman"/>
          <w:sz w:val="16"/>
          <w:szCs w:val="16"/>
        </w:rPr>
        <w:t>КСН - коэффициент снижения количества нарушений антимонопольного законодательства со стороны администрации (по сравнению с 2021 годом);</w:t>
      </w:r>
    </w:p>
    <w:p w:rsidR="006F4D09" w:rsidRPr="006D2EF3" w:rsidRDefault="006F4D09" w:rsidP="006D2EF3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6D2EF3">
        <w:rPr>
          <w:rFonts w:ascii="Times New Roman" w:hAnsi="Times New Roman" w:cs="Times New Roman"/>
          <w:sz w:val="16"/>
          <w:szCs w:val="16"/>
        </w:rPr>
        <w:t>КНП - количество нарушений антимонопольного законодательства со стороны</w:t>
      </w:r>
      <w:r w:rsidRPr="006D2EF3">
        <w:rPr>
          <w:sz w:val="16"/>
          <w:szCs w:val="16"/>
        </w:rPr>
        <w:t xml:space="preserve"> </w:t>
      </w:r>
      <w:r w:rsidRPr="006D2EF3">
        <w:rPr>
          <w:rFonts w:ascii="Times New Roman" w:hAnsi="Times New Roman" w:cs="Times New Roman"/>
          <w:sz w:val="16"/>
          <w:szCs w:val="16"/>
        </w:rPr>
        <w:t>администрации, допущенных в отчетном периоде три года ранее;</w:t>
      </w:r>
    </w:p>
    <w:p w:rsidR="006F4D09" w:rsidRPr="006D2EF3" w:rsidRDefault="006F4D09" w:rsidP="006D2EF3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D2EF3">
        <w:rPr>
          <w:rFonts w:ascii="Times New Roman" w:hAnsi="Times New Roman" w:cs="Times New Roman"/>
          <w:sz w:val="16"/>
          <w:szCs w:val="16"/>
        </w:rPr>
        <w:t>КНоп</w:t>
      </w:r>
      <w:proofErr w:type="spellEnd"/>
      <w:r w:rsidRPr="006D2EF3">
        <w:rPr>
          <w:rFonts w:ascii="Times New Roman" w:hAnsi="Times New Roman" w:cs="Times New Roman"/>
          <w:sz w:val="16"/>
          <w:szCs w:val="16"/>
        </w:rPr>
        <w:t xml:space="preserve"> - количество нарушений антимонопольного законодательства со стороны администрации в отчетном периоде, за который рассчитывается ключевой показатель.</w:t>
      </w:r>
    </w:p>
    <w:p w:rsidR="006F4D09" w:rsidRDefault="006F4D09" w:rsidP="006F4D0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i/>
          <w:sz w:val="28"/>
          <w:szCs w:val="28"/>
          <w:u w:val="single"/>
        </w:rPr>
        <w:t xml:space="preserve">КСН=1/0 </w:t>
      </w:r>
      <w:r w:rsidRPr="00631B53">
        <w:rPr>
          <w:rFonts w:ascii="Times New Roman" w:hAnsi="Times New Roman" w:cs="Times New Roman"/>
          <w:i/>
          <w:sz w:val="28"/>
          <w:szCs w:val="28"/>
        </w:rPr>
        <w:t>(202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31B53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i/>
          <w:sz w:val="28"/>
          <w:szCs w:val="28"/>
        </w:rPr>
        <w:t>0,1</w:t>
      </w:r>
      <w:r w:rsidRPr="00631B53">
        <w:rPr>
          <w:rFonts w:ascii="Times New Roman" w:hAnsi="Times New Roman" w:cs="Times New Roman"/>
          <w:i/>
          <w:sz w:val="28"/>
          <w:szCs w:val="28"/>
        </w:rPr>
        <w:t>)</w:t>
      </w:r>
    </w:p>
    <w:p w:rsidR="006F4D09" w:rsidRPr="00EE7AC0" w:rsidRDefault="006F4D09" w:rsidP="00E719BA">
      <w:pPr>
        <w:autoSpaceDE w:val="0"/>
        <w:autoSpaceDN w:val="0"/>
        <w:adjustRightInd w:val="0"/>
        <w:spacing w:before="160" w:after="0" w:line="240" w:lineRule="auto"/>
        <w:ind w:left="284" w:firstLine="256"/>
        <w:jc w:val="both"/>
        <w:rPr>
          <w:rFonts w:ascii="Times New Roman" w:hAnsi="Times New Roman" w:cs="Times New Roman"/>
          <w:sz w:val="16"/>
          <w:szCs w:val="16"/>
        </w:rPr>
      </w:pPr>
      <w:r w:rsidRPr="00EE7AC0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EE7AC0">
        <w:rPr>
          <w:rFonts w:ascii="Times New Roman" w:hAnsi="Times New Roman" w:cs="Times New Roman"/>
          <w:sz w:val="16"/>
          <w:szCs w:val="16"/>
        </w:rPr>
        <w:t>в</w:t>
      </w:r>
      <w:r w:rsidRPr="00EE7AC0">
        <w:rPr>
          <w:rFonts w:ascii="Times New Roman" w:hAnsi="Times New Roman" w:cs="Times New Roman"/>
          <w:sz w:val="16"/>
          <w:szCs w:val="16"/>
        </w:rPr>
        <w:t xml:space="preserve"> случае, если нарушений не допускалось, для целей расчета в соответствующем числителе или знаменателе вместо значения показателя "0" следует использовать значение показателя "0,1".</w:t>
      </w:r>
    </w:p>
    <w:p w:rsidR="006F4D09" w:rsidRPr="00EE7AC0" w:rsidRDefault="006F4D09" w:rsidP="006F4D0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D2EF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 xml:space="preserve">б) </w:t>
      </w:r>
      <w:r w:rsidRPr="00863F90">
        <w:rPr>
          <w:rFonts w:ascii="Times New Roman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актов администрацией</w:t>
      </w:r>
      <w:r w:rsidRPr="00631B53">
        <w:rPr>
          <w:rFonts w:ascii="Times New Roman" w:hAnsi="Times New Roman" w:cs="Times New Roman"/>
          <w:sz w:val="28"/>
          <w:szCs w:val="28"/>
        </w:rPr>
        <w:t>;</w:t>
      </w:r>
    </w:p>
    <w:p w:rsidR="006F4D09" w:rsidRPr="00E719BA" w:rsidRDefault="006F4D09" w:rsidP="00E719B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noProof/>
          <w:position w:val="-16"/>
          <w:sz w:val="16"/>
          <w:szCs w:val="16"/>
          <w:lang w:eastAsia="ru-RU"/>
        </w:rPr>
        <w:drawing>
          <wp:inline distT="0" distB="0" distL="0" distR="0" wp14:anchorId="79612074" wp14:editId="1E26EFB0">
            <wp:extent cx="9429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53">
        <w:rPr>
          <w:rFonts w:ascii="Times New Roman" w:hAnsi="Times New Roman" w:cs="Times New Roman"/>
          <w:sz w:val="28"/>
          <w:szCs w:val="28"/>
        </w:rPr>
        <w:t> </w:t>
      </w:r>
      <w:r w:rsidRPr="00631B53">
        <w:rPr>
          <w:rFonts w:ascii="Times New Roman" w:hAnsi="Times New Roman" w:cs="Times New Roman"/>
          <w:iCs/>
          <w:sz w:val="28"/>
          <w:szCs w:val="28"/>
        </w:rPr>
        <w:t>где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Кэпнпа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коэффициент эффективности выявления рисков нарушения антимонопольного законодательства в проектах нормативных правовых актов администрации;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Кпнпа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6F4D09" w:rsidRPr="006D2EF3" w:rsidRDefault="006F4D09" w:rsidP="006D2EF3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7AC0">
        <w:rPr>
          <w:rFonts w:ascii="Times New Roman" w:hAnsi="Times New Roman" w:cs="Times New Roman"/>
          <w:sz w:val="16"/>
          <w:szCs w:val="16"/>
        </w:rPr>
        <w:t>Кноп - количество проектов нормативных правовых актов 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:rsidR="006F4D09" w:rsidRDefault="006F4D09" w:rsidP="006F4D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эпнпа</w:t>
      </w:r>
      <w:proofErr w:type="spellEnd"/>
      <w:r w:rsidRPr="00631B53">
        <w:rPr>
          <w:rFonts w:ascii="Times New Roman" w:hAnsi="Times New Roman" w:cs="Times New Roman"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31B53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631B53">
        <w:rPr>
          <w:rFonts w:ascii="Times New Roman" w:hAnsi="Times New Roman" w:cs="Times New Roman"/>
          <w:i/>
          <w:sz w:val="28"/>
          <w:szCs w:val="28"/>
        </w:rPr>
        <w:t xml:space="preserve"> (202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31B53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i/>
          <w:sz w:val="28"/>
          <w:szCs w:val="28"/>
        </w:rPr>
        <w:t>0,1</w:t>
      </w:r>
      <w:r w:rsidRPr="00631B53">
        <w:rPr>
          <w:rFonts w:ascii="Times New Roman" w:hAnsi="Times New Roman" w:cs="Times New Roman"/>
          <w:i/>
          <w:sz w:val="28"/>
          <w:szCs w:val="28"/>
        </w:rPr>
        <w:t>)</w:t>
      </w:r>
    </w:p>
    <w:p w:rsidR="006F4D09" w:rsidRPr="00EE7AC0" w:rsidRDefault="006F4D09" w:rsidP="00E719BA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EE7AC0">
        <w:rPr>
          <w:rFonts w:ascii="Times New Roman" w:hAnsi="Times New Roman" w:cs="Times New Roman"/>
          <w:sz w:val="16"/>
          <w:szCs w:val="16"/>
        </w:rPr>
        <w:t>*</w:t>
      </w:r>
      <w:r w:rsidR="00EE7AC0">
        <w:rPr>
          <w:rFonts w:ascii="Times New Roman" w:hAnsi="Times New Roman" w:cs="Times New Roman"/>
          <w:sz w:val="16"/>
          <w:szCs w:val="16"/>
        </w:rPr>
        <w:t>в</w:t>
      </w:r>
      <w:r w:rsidRPr="00EE7AC0">
        <w:rPr>
          <w:rFonts w:ascii="Times New Roman" w:hAnsi="Times New Roman" w:cs="Times New Roman"/>
          <w:sz w:val="16"/>
          <w:szCs w:val="16"/>
        </w:rPr>
        <w:t xml:space="preserve"> случае, если за отчетный период в проектах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</w:t>
      </w:r>
    </w:p>
    <w:p w:rsidR="006F4D09" w:rsidRDefault="006F4D09" w:rsidP="006F4D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E719BA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31B53">
        <w:rPr>
          <w:rFonts w:ascii="Times New Roman" w:hAnsi="Times New Roman" w:cs="Times New Roman"/>
          <w:sz w:val="28"/>
          <w:szCs w:val="28"/>
        </w:rPr>
        <w:t>в)</w:t>
      </w:r>
      <w:r w:rsidRPr="0099535A">
        <w:t xml:space="preserve"> </w:t>
      </w:r>
      <w:r w:rsidRPr="0099535A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нормативных правовых актах администрацией</w:t>
      </w:r>
    </w:p>
    <w:p w:rsidR="006F4D09" w:rsidRDefault="006F4D09" w:rsidP="00E719B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noProof/>
          <w:position w:val="-16"/>
          <w:sz w:val="16"/>
          <w:szCs w:val="16"/>
          <w:lang w:eastAsia="ru-RU"/>
        </w:rPr>
        <w:drawing>
          <wp:inline distT="0" distB="0" distL="0" distR="0" wp14:anchorId="56C5FBFE" wp14:editId="04611CF0">
            <wp:extent cx="847725" cy="314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53">
        <w:rPr>
          <w:rFonts w:ascii="Times New Roman" w:hAnsi="Times New Roman" w:cs="Times New Roman"/>
          <w:sz w:val="28"/>
          <w:szCs w:val="28"/>
        </w:rPr>
        <w:t>где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Кэнпа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коэффициент эффективности выявления нарушений антимонопольного законодательства в нормативных правовых актах администрации;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Кнпа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количество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КНоп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6F4D09" w:rsidRDefault="006F4D09" w:rsidP="006D2E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Кэ</w:t>
      </w:r>
      <w:r w:rsidRPr="00631B53"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proofErr w:type="spellEnd"/>
      <w:r w:rsidRPr="00631B53">
        <w:rPr>
          <w:rFonts w:ascii="Times New Roman" w:hAnsi="Times New Roman" w:cs="Times New Roman"/>
          <w:i/>
          <w:sz w:val="28"/>
          <w:szCs w:val="28"/>
          <w:u w:val="single"/>
        </w:rPr>
        <w:t>=0</w:t>
      </w:r>
      <w:r w:rsidRPr="00631B53">
        <w:rPr>
          <w:rFonts w:ascii="Times New Roman" w:hAnsi="Times New Roman" w:cs="Times New Roman"/>
          <w:i/>
          <w:sz w:val="28"/>
          <w:szCs w:val="28"/>
        </w:rPr>
        <w:t xml:space="preserve"> (202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31B53">
        <w:rPr>
          <w:rFonts w:ascii="Times New Roman" w:hAnsi="Times New Roman" w:cs="Times New Roman"/>
          <w:i/>
          <w:sz w:val="28"/>
          <w:szCs w:val="28"/>
        </w:rPr>
        <w:t xml:space="preserve"> год – 0</w:t>
      </w:r>
      <w:r>
        <w:rPr>
          <w:rFonts w:ascii="Times New Roman" w:hAnsi="Times New Roman" w:cs="Times New Roman"/>
          <w:i/>
          <w:sz w:val="28"/>
          <w:szCs w:val="28"/>
        </w:rPr>
        <w:t>,1</w:t>
      </w:r>
      <w:r w:rsidRPr="00631B53">
        <w:rPr>
          <w:rFonts w:ascii="Times New Roman" w:hAnsi="Times New Roman" w:cs="Times New Roman"/>
          <w:i/>
          <w:sz w:val="28"/>
          <w:szCs w:val="28"/>
        </w:rPr>
        <w:t>)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16"/>
          <w:szCs w:val="16"/>
        </w:rPr>
      </w:pPr>
      <w:r w:rsidRPr="00EE7AC0">
        <w:rPr>
          <w:rFonts w:ascii="Times New Roman" w:hAnsi="Times New Roman" w:cs="Times New Roman"/>
          <w:sz w:val="16"/>
          <w:szCs w:val="16"/>
        </w:rPr>
        <w:t>*</w:t>
      </w:r>
      <w:r w:rsidR="00EE7AC0" w:rsidRPr="00EE7AC0">
        <w:rPr>
          <w:rFonts w:ascii="Times New Roman" w:hAnsi="Times New Roman" w:cs="Times New Roman"/>
          <w:sz w:val="16"/>
          <w:szCs w:val="16"/>
        </w:rPr>
        <w:t>в</w:t>
      </w:r>
      <w:r w:rsidRPr="00EE7AC0">
        <w:rPr>
          <w:rFonts w:ascii="Times New Roman" w:hAnsi="Times New Roman" w:cs="Times New Roman"/>
          <w:sz w:val="16"/>
          <w:szCs w:val="16"/>
        </w:rPr>
        <w:t xml:space="preserve"> случае, если за отчетный период нормативные правовые акты, нарушающие антимонопольное законодательство,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:rsidR="006F4D09" w:rsidRDefault="006F4D09" w:rsidP="00E719BA">
      <w:pPr>
        <w:autoSpaceDE w:val="0"/>
        <w:autoSpaceDN w:val="0"/>
        <w:adjustRightInd w:val="0"/>
        <w:spacing w:before="16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C0">
        <w:rPr>
          <w:rFonts w:ascii="Times New Roman" w:hAnsi="Times New Roman" w:cs="Times New Roman"/>
          <w:sz w:val="28"/>
          <w:szCs w:val="28"/>
        </w:rPr>
        <w:t>г) доля сотрудников администрации,</w:t>
      </w:r>
      <w:r w:rsidRPr="00E95219">
        <w:rPr>
          <w:rFonts w:ascii="Times New Roman" w:hAnsi="Times New Roman" w:cs="Times New Roman"/>
          <w:sz w:val="28"/>
          <w:szCs w:val="28"/>
        </w:rPr>
        <w:t xml:space="preserve">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9521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E95219">
        <w:rPr>
          <w:rFonts w:ascii="Times New Roman" w:hAnsi="Times New Roman" w:cs="Times New Roman"/>
          <w:sz w:val="28"/>
          <w:szCs w:val="28"/>
        </w:rPr>
        <w:t>.</w:t>
      </w:r>
    </w:p>
    <w:p w:rsidR="006F4D09" w:rsidRDefault="006F4D09" w:rsidP="006F4D0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noProof/>
          <w:position w:val="-17"/>
          <w:sz w:val="16"/>
          <w:szCs w:val="16"/>
          <w:lang w:eastAsia="ru-RU"/>
        </w:rPr>
        <w:drawing>
          <wp:inline distT="0" distB="0" distL="0" distR="0" wp14:anchorId="1C9FD89D" wp14:editId="3B45C611">
            <wp:extent cx="82867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53">
        <w:rPr>
          <w:rFonts w:ascii="Times New Roman" w:hAnsi="Times New Roman" w:cs="Times New Roman"/>
          <w:sz w:val="28"/>
          <w:szCs w:val="28"/>
        </w:rPr>
        <w:t> где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ДСо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комплаенсу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>;</w:t>
      </w:r>
    </w:p>
    <w:p w:rsidR="006F4D09" w:rsidRPr="00EE7AC0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КСо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комплаенсу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>;</w:t>
      </w:r>
    </w:p>
    <w:p w:rsidR="006F4D09" w:rsidRPr="006D2EF3" w:rsidRDefault="006F4D09" w:rsidP="006D2EF3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7AC0">
        <w:rPr>
          <w:rFonts w:ascii="Times New Roman" w:hAnsi="Times New Roman" w:cs="Times New Roman"/>
          <w:sz w:val="16"/>
          <w:szCs w:val="16"/>
        </w:rPr>
        <w:t>КСобщ</w:t>
      </w:r>
      <w:proofErr w:type="spellEnd"/>
      <w:r w:rsidRPr="00EE7AC0">
        <w:rPr>
          <w:rFonts w:ascii="Times New Roman" w:hAnsi="Times New Roman" w:cs="Times New Roman"/>
          <w:sz w:val="16"/>
          <w:szCs w:val="16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</w:p>
    <w:p w:rsidR="006F4D09" w:rsidRPr="004A3B2C" w:rsidRDefault="006F4D09" w:rsidP="006F4D0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925">
        <w:rPr>
          <w:rFonts w:ascii="Times New Roman" w:hAnsi="Times New Roman" w:cs="Times New Roman"/>
          <w:sz w:val="28"/>
          <w:szCs w:val="28"/>
          <w:u w:val="single"/>
        </w:rPr>
        <w:t>Дсо</w:t>
      </w:r>
      <w:proofErr w:type="spellEnd"/>
      <w:r w:rsidRPr="00435925">
        <w:rPr>
          <w:rFonts w:ascii="Times New Roman" w:hAnsi="Times New Roman" w:cs="Times New Roman"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7/28 </w:t>
      </w:r>
      <w:r w:rsidRPr="00435925">
        <w:rPr>
          <w:rFonts w:ascii="Times New Roman" w:hAnsi="Times New Roman" w:cs="Times New Roman"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5925">
        <w:rPr>
          <w:rFonts w:ascii="Times New Roman" w:hAnsi="Times New Roman" w:cs="Times New Roman"/>
          <w:sz w:val="28"/>
          <w:szCs w:val="28"/>
          <w:u w:val="single"/>
        </w:rPr>
        <w:t>0,</w:t>
      </w:r>
      <w:r w:rsidRPr="001C396E">
        <w:rPr>
          <w:rFonts w:ascii="Times New Roman" w:hAnsi="Times New Roman" w:cs="Times New Roman"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2C">
        <w:rPr>
          <w:rFonts w:ascii="Times New Roman" w:hAnsi="Times New Roman" w:cs="Times New Roman"/>
          <w:i/>
          <w:sz w:val="28"/>
          <w:szCs w:val="28"/>
        </w:rPr>
        <w:t>(202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A3B2C">
        <w:rPr>
          <w:rFonts w:ascii="Times New Roman" w:hAnsi="Times New Roman" w:cs="Times New Roman"/>
          <w:i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i/>
          <w:sz w:val="28"/>
          <w:szCs w:val="28"/>
        </w:rPr>
        <w:t xml:space="preserve"> 0,25</w:t>
      </w:r>
      <w:r w:rsidRPr="004A3B2C">
        <w:rPr>
          <w:rFonts w:ascii="Times New Roman" w:hAnsi="Times New Roman" w:cs="Times New Roman"/>
          <w:i/>
          <w:sz w:val="28"/>
          <w:szCs w:val="28"/>
        </w:rPr>
        <w:t>)</w:t>
      </w:r>
    </w:p>
    <w:p w:rsidR="006F4D09" w:rsidRDefault="006F4D09" w:rsidP="006F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B0145E" w:rsidP="00B0145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анализируемом периоде ключевые показатели эффективности функционирования антимонопольного законодательства характеризируют деятельность администрации как соответствующую требованиям антимонопольного законодательства.  </w:t>
      </w: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4D09" w:rsidRDefault="006F4D09" w:rsidP="006F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76" w:rsidRDefault="00C73276"/>
    <w:sectPr w:rsidR="00C73276" w:rsidSect="00EE106B">
      <w:headerReference w:type="default" r:id="rId11"/>
      <w:pgSz w:w="11906" w:h="16838"/>
      <w:pgMar w:top="1134" w:right="62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EF3">
      <w:pPr>
        <w:spacing w:after="0" w:line="240" w:lineRule="auto"/>
      </w:pPr>
      <w:r>
        <w:separator/>
      </w:r>
    </w:p>
  </w:endnote>
  <w:endnote w:type="continuationSeparator" w:id="0">
    <w:p w:rsidR="00000000" w:rsidRDefault="006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EF3">
      <w:pPr>
        <w:spacing w:after="0" w:line="240" w:lineRule="auto"/>
      </w:pPr>
      <w:r>
        <w:separator/>
      </w:r>
    </w:p>
  </w:footnote>
  <w:footnote w:type="continuationSeparator" w:id="0">
    <w:p w:rsidR="00000000" w:rsidRDefault="006D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B01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F3">
          <w:rPr>
            <w:noProof/>
          </w:rPr>
          <w:t>2</w:t>
        </w:r>
        <w:r>
          <w:fldChar w:fldCharType="end"/>
        </w:r>
      </w:p>
    </w:sdtContent>
  </w:sdt>
  <w:p w:rsidR="00866854" w:rsidRDefault="006D2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9"/>
    <w:rsid w:val="0006157A"/>
    <w:rsid w:val="004A42EE"/>
    <w:rsid w:val="00506505"/>
    <w:rsid w:val="006D2EF3"/>
    <w:rsid w:val="006F4D09"/>
    <w:rsid w:val="009A6127"/>
    <w:rsid w:val="00A22AF6"/>
    <w:rsid w:val="00B0145E"/>
    <w:rsid w:val="00C73276"/>
    <w:rsid w:val="00E719BA"/>
    <w:rsid w:val="00EE7AC0"/>
    <w:rsid w:val="00F37006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F93"/>
  <w15:chartTrackingRefBased/>
  <w15:docId w15:val="{59722EEA-85E4-45BD-B0D4-9ACFE1D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09"/>
  </w:style>
  <w:style w:type="character" w:styleId="a5">
    <w:name w:val="Hyperlink"/>
    <w:basedOn w:val="a0"/>
    <w:uiPriority w:val="99"/>
    <w:unhideWhenUsed/>
    <w:rsid w:val="006F4D09"/>
    <w:rPr>
      <w:color w:val="0563C1" w:themeColor="hyperlink"/>
      <w:u w:val="single"/>
    </w:rPr>
  </w:style>
  <w:style w:type="paragraph" w:customStyle="1" w:styleId="Default">
    <w:name w:val="Default"/>
    <w:rsid w:val="006F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F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.ru/zhizn-goroda/ekonomika/standt-razv-konkur/antimonopolnyy-komplaen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Аксана Анатольевна</dc:creator>
  <cp:keywords/>
  <dc:description/>
  <cp:lastModifiedBy>Гвоздева Рада Васильевна</cp:lastModifiedBy>
  <cp:revision>4</cp:revision>
  <dcterms:created xsi:type="dcterms:W3CDTF">2024-02-09T13:01:00Z</dcterms:created>
  <dcterms:modified xsi:type="dcterms:W3CDTF">2024-02-09T13:30:00Z</dcterms:modified>
</cp:coreProperties>
</file>