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8F4919" w:rsidRPr="008F4919">
        <w:rPr>
          <w:rFonts w:ascii="Times New Roman" w:hAnsi="Times New Roman" w:cs="Times New Roman"/>
          <w:sz w:val="28"/>
        </w:rPr>
        <w:t>3</w:t>
      </w:r>
      <w:r w:rsidR="008F4919">
        <w:rPr>
          <w:rFonts w:ascii="Times New Roman" w:hAnsi="Times New Roman" w:cs="Times New Roman"/>
          <w:sz w:val="28"/>
        </w:rPr>
        <w:t>0</w:t>
      </w:r>
      <w:r w:rsidR="008F4919" w:rsidRPr="008F4919">
        <w:rPr>
          <w:rFonts w:ascii="Times New Roman" w:hAnsi="Times New Roman" w:cs="Times New Roman"/>
          <w:sz w:val="28"/>
        </w:rPr>
        <w:t xml:space="preserve"> января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товары для детей и продукцию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>о средних розничных ценах на отдельные виды социально значимых продуктов питания, товаров для детей и продукции детского питания в городе Сочи по состоянию на 30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Прирост средней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цены в % 30.01.2024 к 23.01.2024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64,43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-3,48</w:t>
            </w:r>
          </w:p>
        </w:tc>
      </w:tr>
      <w:tr w:rsidR="0000494D" w:rsidRPr="00A05DFB" w:rsidTr="00EF0B40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EB0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0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-2,99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09C9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-6,36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199,99</w:t>
            </w:r>
            <w:bookmarkEnd w:id="0"/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244,62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5,57</w:t>
            </w:r>
          </w:p>
        </w:tc>
      </w:tr>
      <w:tr w:rsidR="0000494D" w:rsidRPr="00A05DFB" w:rsidTr="00EF0B40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-3,03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15942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-3,23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214,70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6E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6E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B2D2E"/>
    <w:rsid w:val="002F1614"/>
    <w:rsid w:val="00315942"/>
    <w:rsid w:val="006D678B"/>
    <w:rsid w:val="006E4419"/>
    <w:rsid w:val="008F4919"/>
    <w:rsid w:val="00A05DFB"/>
    <w:rsid w:val="00C469E8"/>
    <w:rsid w:val="00E52550"/>
    <w:rsid w:val="00EB09C9"/>
    <w:rsid w:val="00EB40BE"/>
    <w:rsid w:val="00E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867F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8</cp:revision>
  <dcterms:created xsi:type="dcterms:W3CDTF">2024-01-25T07:08:00Z</dcterms:created>
  <dcterms:modified xsi:type="dcterms:W3CDTF">2024-01-31T13:32:00Z</dcterms:modified>
</cp:coreProperties>
</file>